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Основы понятия теории автоматического управления технологическими процессами</w:t>
      </w:r>
    </w:p>
    <w:p>
      <w:pPr>
        <w:pStyle w:val="NoSpacing"/>
        <w:ind w:hanging="0"/>
        <w:jc w:val="center"/>
        <w:rPr/>
      </w:pPr>
      <w:r>
        <w:rPr/>
        <w:t>Теоретическое</w:t>
      </w:r>
      <w:bookmarkStart w:id="0" w:name="_GoBack"/>
      <w:bookmarkEnd w:id="0"/>
      <w:r>
        <w:rPr/>
        <w:t xml:space="preserve"> занятие</w:t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Специальность: </w:t>
      </w:r>
      <w:r>
        <w:rPr>
          <w:rFonts w:eastAsia="Times New Roman" w:cs="Times New Roman" w:ascii="Times New Roman" w:hAnsi="Times New Roman"/>
          <w:sz w:val="28"/>
          <w:szCs w:val="28"/>
          <w:u w:val="none"/>
        </w:rPr>
        <w:t>19.02.11 Технология продуктов питания из растительного сырья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ОП.01.03 Автоматизация технологических процессов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 xml:space="preserve">Тема 2.1. Основы понятия теории автоматического управления 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технологическими процессами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Преподаватель: Селезнева С.В.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Пенза - 2022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Основы понятия теории автоматического управления технологическими процессами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При планировании, проведении и обобщении разработок АСУТП следует иметь в виду, что эти системы весьма разнообразны. Для решения ряда научных, технических и организационных вопросов необходимо пользоваться общей классификацией АСУТП, т. е. правилами разбиения всего множества этих систем на такие подмножества (классификационные группы), в пределах которых все входящие в них АСУТП одинаковы, близки или похожи в том или ином отношении. АСУТП как объекты классификации характеризуются многими существенными факторами и показателями, каждый из которых может выступать в роли классификационного признака. Поэтому общая классификация АСУТП состоит из ряда частных классификаций, проводимых по одному из таких признаков. В зависимости от поставленных целей необходимо пользоваться различными классификационными признаками или их разными сочетаниями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footnoteReference w:id="2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.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Приводимая ниже классификация АСУТП может использоваться в основном с целями: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 xml:space="preserve">•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выбора систем-аналогов на ранних этапах разработки АСУТП;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 xml:space="preserve">•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оценки необходимых ресурсов при укрупненном планировании работ по созданию АСУТП;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 xml:space="preserve">•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определения качества (научно-технического уровня) АСУТП;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 xml:space="preserve">•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определения капиталоемкости АСУТП в условных единицах.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К основным классификационным признакам АСУТП относятся: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 xml:space="preserve">•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уровень, занимаемый ТОУ и АСУТП в структуре предприятия;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 xml:space="preserve">•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 xml:space="preserve">характер протекания технологического процесса во времени; • показатель условной информационной мощности; • уровень функциональной надежности АСУТП; 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 xml:space="preserve">•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тип функционирования АСУТП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footnoteReference w:id="3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.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Классификации по каждому из указанных признаков (а также по любым их сочетаниям) могут рассматриваться и использоваться как независимые: конкретному индексу одного (или нескольких) признака могут соответствовать любые индексы других признаков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footnoteReference w:id="4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 xml:space="preserve">. </w:t>
      </w:r>
    </w:p>
    <w:p>
      <w:pPr>
        <w:pStyle w:val="NoSpacing"/>
        <w:spacing w:lineRule="auto" w:line="360" w:before="0" w:after="0"/>
        <w:jc w:val="both"/>
        <w:rPr/>
      </w:pPr>
      <w:r>
        <w:rPr/>
      </w:r>
    </w:p>
    <w:p>
      <w:pPr>
        <w:pStyle w:val="1"/>
        <w:numPr>
          <w:ilvl w:val="0"/>
          <w:numId w:val="0"/>
        </w:numPr>
        <w:ind w:left="1069" w:hanging="0"/>
        <w:rPr/>
      </w:pPr>
      <w:bookmarkStart w:id="1" w:name="_Неотъемлемой_составляющей_развития"/>
      <w:bookmarkEnd w:id="1"/>
      <w:r>
        <w:rPr/>
        <w:t>Список использованной литературы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 Благовещенская М.М. Информационные технологии систем управления</w:t>
      </w:r>
    </w:p>
    <w:p>
      <w:pPr>
        <w:pStyle w:val="Normal"/>
        <w:widowControl/>
        <w:spacing w:lineRule="auto" w:line="360"/>
        <w:ind w:left="0" w:right="0" w:hanging="0"/>
        <w:jc w:val="left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технологическими процессами .-М.: Высшая школа 2005.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2 Рачков М.Ю. Технические средства автоматизации. Учебник- М.: МГИУ,2006.-185с.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Normal"/>
        <w:spacing w:lineRule="auto" w:line="360"/>
        <w:jc w:val="both"/>
        <w:rPr/>
      </w:pPr>
      <w:r>
        <w:rPr/>
      </w:r>
    </w:p>
    <w:sectPr>
      <w:footerReference w:type="default" r:id="rId2"/>
      <w:footnotePr>
        <w:numFmt w:val="decimal"/>
      </w:footnotePr>
      <w:type w:val="nextPage"/>
      <w:pgSz w:w="11906" w:h="16838"/>
      <w:pgMar w:left="1135" w:right="850" w:gutter="0" w:header="0" w:top="820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88407440"/>
    </w:sdtPr>
    <w:sdtContent>
      <w:p>
        <w:pPr>
          <w:pStyle w:val="Style30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3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3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0"/>
        <w:jc w:val="both"/>
        <w:rPr>
          <w:sz w:val="24"/>
          <w:szCs w:val="24"/>
        </w:rPr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Рачков М.Ю. Технические средства автоматизации. Учебник- М.: МГИУ,2006.-185с.</w:t>
      </w:r>
    </w:p>
  </w:footnote>
  <w:footnote w:id="3"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0"/>
        <w:jc w:val="both"/>
        <w:rPr>
          <w:sz w:val="24"/>
          <w:szCs w:val="24"/>
        </w:rPr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Рачков М.Ю. Технические средства автоматизации. Учебник- М.: МГИУ,2006.-185с.</w:t>
      </w:r>
    </w:p>
  </w:footnote>
  <w:footnote w:id="4"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sz w:val="24"/>
          <w:szCs w:val="24"/>
        </w:rPr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Рачков М.Ю. Технические средства автоматизации. Учебник- М.: МГИУ,2006.-185с.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2f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7012fe"/>
    <w:pPr>
      <w:jc w:val="center"/>
      <w:outlineLvl w:val="0"/>
    </w:pPr>
    <w:rPr>
      <w:rFonts w:ascii="Times New Roman" w:hAnsi="Times New Roman" w:eastAsia="Times New Roman" w:cs="Times New Roman"/>
      <w:b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7012fe"/>
    <w:rPr>
      <w:rFonts w:ascii="Times New Roman" w:hAnsi="Times New Roman" w:eastAsia="Times New Roman" w:cs="Times New Roman"/>
      <w:b/>
      <w:sz w:val="32"/>
      <w:szCs w:val="32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7012fe"/>
    <w:rPr>
      <w:sz w:val="20"/>
      <w:szCs w:val="20"/>
    </w:rPr>
  </w:style>
  <w:style w:type="character" w:styleId="Style14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012fe"/>
    <w:rPr>
      <w:vertAlign w:val="superscript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012fe"/>
    <w:rPr>
      <w:rFonts w:ascii="Segoe UI" w:hAnsi="Segoe UI" w:cs="Segoe UI"/>
      <w:sz w:val="18"/>
      <w:szCs w:val="18"/>
    </w:rPr>
  </w:style>
  <w:style w:type="character" w:styleId="Style16">
    <w:name w:val="Hyperlink"/>
    <w:basedOn w:val="DefaultParagraphFont"/>
    <w:uiPriority w:val="99"/>
    <w:unhideWhenUsed/>
    <w:rsid w:val="00e83d33"/>
    <w:rPr>
      <w:color w:val="0563C1" w:themeColor="hyperlink"/>
      <w:u w:val="single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515c78"/>
    <w:rPr/>
  </w:style>
  <w:style w:type="character" w:styleId="Style18" w:customStyle="1">
    <w:name w:val="Нижний колонтитул Знак"/>
    <w:basedOn w:val="DefaultParagraphFont"/>
    <w:uiPriority w:val="99"/>
    <w:qFormat/>
    <w:rsid w:val="00515c78"/>
    <w:rPr/>
  </w:style>
  <w:style w:type="character" w:styleId="Style19">
    <w:name w:val="Символ сноски"/>
    <w:qFormat/>
    <w:rPr/>
  </w:style>
  <w:style w:type="character" w:styleId="Strong">
    <w:name w:val="Strong"/>
    <w:qFormat/>
    <w:rPr>
      <w:b/>
      <w:bCs/>
    </w:rPr>
  </w:style>
  <w:style w:type="character" w:styleId="Style20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1">
    <w:name w:val="Символ концевой сноски"/>
    <w:qFormat/>
    <w:rPr/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basedOn w:val="Normal"/>
    <w:uiPriority w:val="1"/>
    <w:qFormat/>
    <w:rsid w:val="007012fe"/>
    <w:pPr>
      <w:spacing w:lineRule="auto" w:line="360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Style27">
    <w:name w:val="Footnote Text"/>
    <w:basedOn w:val="Normal"/>
    <w:link w:val="Style13"/>
    <w:uiPriority w:val="99"/>
    <w:semiHidden/>
    <w:unhideWhenUsed/>
    <w:rsid w:val="007012fe"/>
    <w:pPr/>
    <w:rPr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012fe"/>
    <w:pPr/>
    <w:rPr>
      <w:rFonts w:ascii="Segoe UI" w:hAnsi="Segoe UI" w:cs="Segoe UI"/>
      <w:sz w:val="18"/>
      <w:szCs w:val="18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Style17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Style18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1BDC-8A92-4232-884F-D230C5E6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Application>LibreOffice/7.4.0.3$Windows_X86_64 LibreOffice_project/f85e47c08ddd19c015c0114a68350214f7066f5a</Application>
  <AppVersion>15.0000</AppVersion>
  <Pages>3</Pages>
  <Words>308</Words>
  <Characters>2317</Characters>
  <CharactersWithSpaces>2605</CharactersWithSpaces>
  <Paragraphs>28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Веселов Веселов</dc:creator>
  <dc:description/>
  <dc:language>ru-RU</dc:language>
  <cp:lastModifiedBy/>
  <dcterms:modified xsi:type="dcterms:W3CDTF">2022-11-13T14:50:34Z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